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BB" w:rsidRPr="00B03E2E" w:rsidRDefault="007966BB" w:rsidP="007966BB">
      <w:pPr>
        <w:rPr>
          <w:sz w:val="28"/>
        </w:rPr>
      </w:pPr>
    </w:p>
    <w:p w:rsidR="00F7711B" w:rsidRPr="00B03E2E" w:rsidRDefault="00F7711B" w:rsidP="00F7711B">
      <w:pPr>
        <w:pStyle w:val="Heading1"/>
        <w:rPr>
          <w:sz w:val="40"/>
        </w:rPr>
      </w:pPr>
      <w:r w:rsidRPr="00B03E2E">
        <w:rPr>
          <w:sz w:val="40"/>
        </w:rPr>
        <w:t>Key terms and Excel vocabulary</w:t>
      </w:r>
    </w:p>
    <w:p w:rsidR="00F7711B" w:rsidRPr="00B03E2E" w:rsidRDefault="00F7711B" w:rsidP="00F7711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8"/>
          <w:szCs w:val="22"/>
          <w:lang w:val="en-AU"/>
        </w:rPr>
      </w:pPr>
      <w:r w:rsidRPr="00B03E2E">
        <w:rPr>
          <w:rFonts w:asciiTheme="minorHAnsi" w:hAnsiTheme="minorHAnsi" w:cstheme="minorBidi"/>
          <w:b/>
          <w:sz w:val="28"/>
          <w:szCs w:val="22"/>
          <w:lang w:val="en-AU"/>
        </w:rPr>
        <w:t>Data</w:t>
      </w:r>
      <w:r w:rsidRPr="00B03E2E">
        <w:rPr>
          <w:rFonts w:asciiTheme="minorHAnsi" w:hAnsiTheme="minorHAnsi" w:cstheme="minorBidi"/>
          <w:sz w:val="28"/>
          <w:szCs w:val="22"/>
          <w:lang w:val="en-AU"/>
        </w:rPr>
        <w:t> – any information that is collected or researched. This can be numbers or words</w:t>
      </w:r>
    </w:p>
    <w:p w:rsidR="00F7711B" w:rsidRPr="00B03E2E" w:rsidRDefault="00F7711B" w:rsidP="00F7711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8"/>
          <w:szCs w:val="22"/>
          <w:lang w:val="en-AU"/>
        </w:rPr>
      </w:pPr>
      <w:r w:rsidRPr="00B03E2E">
        <w:rPr>
          <w:rFonts w:asciiTheme="minorHAnsi" w:hAnsiTheme="minorHAnsi" w:cstheme="minorBidi"/>
          <w:b/>
          <w:sz w:val="28"/>
          <w:szCs w:val="22"/>
          <w:lang w:val="en-AU"/>
        </w:rPr>
        <w:t>Survey</w:t>
      </w:r>
      <w:r w:rsidRPr="00B03E2E">
        <w:rPr>
          <w:rFonts w:asciiTheme="minorHAnsi" w:hAnsiTheme="minorHAnsi" w:cstheme="minorBidi"/>
          <w:sz w:val="28"/>
          <w:szCs w:val="22"/>
          <w:lang w:val="en-AU"/>
        </w:rPr>
        <w:t> – a means of collecting information about the frequency of something occurring</w:t>
      </w:r>
    </w:p>
    <w:p w:rsidR="00F7711B" w:rsidRPr="00B03E2E" w:rsidRDefault="00F7711B" w:rsidP="00F7711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8"/>
          <w:szCs w:val="22"/>
          <w:lang w:val="en-AU"/>
        </w:rPr>
      </w:pPr>
      <w:r w:rsidRPr="00B03E2E">
        <w:rPr>
          <w:rFonts w:asciiTheme="minorHAnsi" w:hAnsiTheme="minorHAnsi" w:cstheme="minorBidi"/>
          <w:b/>
          <w:sz w:val="28"/>
          <w:szCs w:val="22"/>
          <w:lang w:val="en-AU"/>
        </w:rPr>
        <w:t>Tally</w:t>
      </w:r>
      <w:r w:rsidRPr="00B03E2E">
        <w:rPr>
          <w:rFonts w:asciiTheme="minorHAnsi" w:hAnsiTheme="minorHAnsi" w:cstheme="minorBidi"/>
          <w:sz w:val="28"/>
          <w:szCs w:val="22"/>
          <w:lang w:val="en-AU"/>
        </w:rPr>
        <w:t> – a means by which to record the frequency of an occurrence, often used when conducting a survey</w:t>
      </w:r>
    </w:p>
    <w:p w:rsidR="00F7711B" w:rsidRPr="00B03E2E" w:rsidRDefault="00F7711B" w:rsidP="00F7711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8"/>
          <w:szCs w:val="22"/>
          <w:lang w:val="en-AU"/>
        </w:rPr>
      </w:pPr>
      <w:r w:rsidRPr="00B03E2E">
        <w:rPr>
          <w:rFonts w:asciiTheme="minorHAnsi" w:hAnsiTheme="minorHAnsi" w:cstheme="minorBidi"/>
          <w:b/>
          <w:sz w:val="28"/>
          <w:szCs w:val="22"/>
          <w:lang w:val="en-AU"/>
        </w:rPr>
        <w:t>Cell</w:t>
      </w:r>
      <w:r w:rsidRPr="00B03E2E">
        <w:rPr>
          <w:rFonts w:asciiTheme="minorHAnsi" w:hAnsiTheme="minorHAnsi" w:cstheme="minorBidi"/>
          <w:sz w:val="28"/>
          <w:szCs w:val="22"/>
          <w:lang w:val="en-AU"/>
        </w:rPr>
        <w:t> – one of the individual sections in Excel where you can enter text or numbers. All cells have a reference location, similar to a grid reference, consisting of one number and one letter.</w:t>
      </w:r>
    </w:p>
    <w:p w:rsidR="00F7711B" w:rsidRPr="00B03E2E" w:rsidRDefault="00F7711B" w:rsidP="00F7711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8"/>
          <w:szCs w:val="22"/>
          <w:lang w:val="en-AU"/>
        </w:rPr>
      </w:pPr>
      <w:r w:rsidRPr="00B03E2E">
        <w:rPr>
          <w:rFonts w:asciiTheme="minorHAnsi" w:hAnsiTheme="minorHAnsi" w:cstheme="minorBidi"/>
          <w:b/>
          <w:sz w:val="28"/>
          <w:szCs w:val="22"/>
          <w:lang w:val="en-AU"/>
        </w:rPr>
        <w:t>Spreadsheet</w:t>
      </w:r>
      <w:r w:rsidRPr="00B03E2E">
        <w:rPr>
          <w:rFonts w:asciiTheme="minorHAnsi" w:hAnsiTheme="minorHAnsi" w:cstheme="minorBidi"/>
          <w:sz w:val="28"/>
          <w:szCs w:val="22"/>
          <w:lang w:val="en-AU"/>
        </w:rPr>
        <w:t> – a whole page of Excel cells that you can work with. There are multiple sheets within an Excel workbook.</w:t>
      </w:r>
    </w:p>
    <w:p w:rsidR="00F7711B" w:rsidRPr="00B03E2E" w:rsidRDefault="00F7711B" w:rsidP="00F7711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8"/>
          <w:szCs w:val="22"/>
          <w:lang w:val="en-AU"/>
        </w:rPr>
      </w:pPr>
      <w:r w:rsidRPr="00B03E2E">
        <w:rPr>
          <w:rFonts w:asciiTheme="minorHAnsi" w:hAnsiTheme="minorHAnsi" w:cstheme="minorBidi"/>
          <w:b/>
          <w:sz w:val="28"/>
          <w:szCs w:val="22"/>
          <w:lang w:val="en-AU"/>
        </w:rPr>
        <w:t>Graph</w:t>
      </w:r>
      <w:r w:rsidRPr="00B03E2E">
        <w:rPr>
          <w:rFonts w:asciiTheme="minorHAnsi" w:hAnsiTheme="minorHAnsi" w:cstheme="minorBidi"/>
          <w:sz w:val="28"/>
          <w:szCs w:val="22"/>
          <w:lang w:val="en-AU"/>
        </w:rPr>
        <w:t> – a means of visually depicting data or information to make it easier to interpret. There are a range of different graphs.</w:t>
      </w:r>
    </w:p>
    <w:p w:rsidR="00F7711B" w:rsidRPr="00B03E2E" w:rsidRDefault="00F7711B" w:rsidP="00F7711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8"/>
          <w:szCs w:val="22"/>
          <w:lang w:val="en-AU"/>
        </w:rPr>
      </w:pPr>
      <w:r w:rsidRPr="00B03E2E">
        <w:rPr>
          <w:rFonts w:asciiTheme="minorHAnsi" w:hAnsiTheme="minorHAnsi" w:cstheme="minorBidi"/>
          <w:b/>
          <w:sz w:val="28"/>
          <w:szCs w:val="22"/>
          <w:lang w:val="en-AU"/>
        </w:rPr>
        <w:t>Bar</w:t>
      </w:r>
      <w:r w:rsidRPr="00B03E2E">
        <w:rPr>
          <w:rFonts w:asciiTheme="minorHAnsi" w:hAnsiTheme="minorHAnsi" w:cstheme="minorBidi"/>
          <w:sz w:val="28"/>
          <w:szCs w:val="22"/>
          <w:lang w:val="en-AU"/>
        </w:rPr>
        <w:t xml:space="preserve"> </w:t>
      </w:r>
      <w:r w:rsidRPr="00B03E2E">
        <w:rPr>
          <w:rFonts w:asciiTheme="minorHAnsi" w:hAnsiTheme="minorHAnsi" w:cstheme="minorBidi"/>
          <w:b/>
          <w:sz w:val="28"/>
          <w:szCs w:val="22"/>
          <w:lang w:val="en-AU"/>
        </w:rPr>
        <w:t>graph</w:t>
      </w:r>
      <w:r w:rsidRPr="00B03E2E">
        <w:rPr>
          <w:rFonts w:asciiTheme="minorHAnsi" w:hAnsiTheme="minorHAnsi" w:cstheme="minorBidi"/>
          <w:sz w:val="28"/>
          <w:szCs w:val="22"/>
          <w:lang w:val="en-AU"/>
        </w:rPr>
        <w:t> – one that represents data as ‘bars’. The length of each bar extends to the amount of that data type there is.</w:t>
      </w:r>
    </w:p>
    <w:p w:rsidR="00F7711B" w:rsidRPr="00B03E2E" w:rsidRDefault="00F7711B" w:rsidP="00F7711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8"/>
          <w:szCs w:val="22"/>
          <w:lang w:val="en-AU"/>
        </w:rPr>
      </w:pPr>
      <w:r w:rsidRPr="00B03E2E">
        <w:rPr>
          <w:rFonts w:asciiTheme="minorHAnsi" w:hAnsiTheme="minorHAnsi" w:cstheme="minorBidi"/>
          <w:b/>
          <w:sz w:val="28"/>
          <w:szCs w:val="22"/>
          <w:lang w:val="en-AU"/>
        </w:rPr>
        <w:t>Pie chart (graph)</w:t>
      </w:r>
      <w:r w:rsidRPr="00B03E2E">
        <w:rPr>
          <w:rFonts w:asciiTheme="minorHAnsi" w:hAnsiTheme="minorHAnsi" w:cstheme="minorBidi"/>
          <w:sz w:val="28"/>
          <w:szCs w:val="22"/>
          <w:lang w:val="en-AU"/>
        </w:rPr>
        <w:t> – represents the fraction that each form of data takes up from the whole</w:t>
      </w:r>
    </w:p>
    <w:p w:rsidR="00F7711B" w:rsidRPr="00B03E2E" w:rsidRDefault="00F7711B" w:rsidP="00F7711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8"/>
          <w:szCs w:val="22"/>
          <w:lang w:val="en-AU"/>
        </w:rPr>
      </w:pPr>
      <w:r w:rsidRPr="00B03E2E">
        <w:rPr>
          <w:rFonts w:asciiTheme="minorHAnsi" w:hAnsiTheme="minorHAnsi" w:cstheme="minorBidi"/>
          <w:b/>
          <w:sz w:val="28"/>
          <w:szCs w:val="22"/>
          <w:lang w:val="en-AU"/>
        </w:rPr>
        <w:t>Column </w:t>
      </w:r>
      <w:r w:rsidRPr="00B03E2E">
        <w:rPr>
          <w:rFonts w:asciiTheme="minorHAnsi" w:hAnsiTheme="minorHAnsi" w:cstheme="minorBidi"/>
          <w:sz w:val="28"/>
          <w:szCs w:val="22"/>
          <w:lang w:val="en-AU"/>
        </w:rPr>
        <w:t>– a vertical row or list. Data that is put above or below one another</w:t>
      </w:r>
    </w:p>
    <w:p w:rsidR="00F7711B" w:rsidRPr="00B03E2E" w:rsidRDefault="00F7711B" w:rsidP="00F7711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8"/>
          <w:szCs w:val="22"/>
          <w:lang w:val="en-AU"/>
        </w:rPr>
      </w:pPr>
      <w:r w:rsidRPr="00B03E2E">
        <w:rPr>
          <w:rFonts w:asciiTheme="minorHAnsi" w:hAnsiTheme="minorHAnsi" w:cstheme="minorBidi"/>
          <w:b/>
          <w:sz w:val="28"/>
          <w:szCs w:val="22"/>
          <w:lang w:val="en-AU"/>
        </w:rPr>
        <w:t>Row</w:t>
      </w:r>
      <w:r w:rsidRPr="00B03E2E">
        <w:rPr>
          <w:rFonts w:asciiTheme="minorHAnsi" w:hAnsiTheme="minorHAnsi" w:cstheme="minorBidi"/>
          <w:sz w:val="28"/>
          <w:szCs w:val="22"/>
          <w:lang w:val="en-AU"/>
        </w:rPr>
        <w:t> – a horizontal row or list. Data that is arranged left to right</w:t>
      </w:r>
    </w:p>
    <w:p w:rsidR="00F7711B" w:rsidRPr="00B03E2E" w:rsidRDefault="00F7711B" w:rsidP="00F7711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8"/>
          <w:szCs w:val="22"/>
          <w:lang w:val="en-AU"/>
        </w:rPr>
      </w:pPr>
      <w:r w:rsidRPr="00B03E2E">
        <w:rPr>
          <w:rFonts w:asciiTheme="minorHAnsi" w:hAnsiTheme="minorHAnsi" w:cstheme="minorBidi"/>
          <w:b/>
          <w:sz w:val="28"/>
          <w:szCs w:val="22"/>
          <w:lang w:val="en-AU"/>
        </w:rPr>
        <w:t>Copying</w:t>
      </w:r>
      <w:r w:rsidRPr="00B03E2E">
        <w:rPr>
          <w:rFonts w:asciiTheme="minorHAnsi" w:hAnsiTheme="minorHAnsi" w:cstheme="minorBidi"/>
          <w:sz w:val="28"/>
          <w:szCs w:val="22"/>
          <w:lang w:val="en-AU"/>
        </w:rPr>
        <w:t> – creating a duplicate of something</w:t>
      </w:r>
    </w:p>
    <w:p w:rsidR="00F7711B" w:rsidRPr="00B03E2E" w:rsidRDefault="00F7711B" w:rsidP="00F7711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8"/>
          <w:szCs w:val="22"/>
          <w:lang w:val="en-AU"/>
        </w:rPr>
      </w:pPr>
      <w:r w:rsidRPr="00B03E2E">
        <w:rPr>
          <w:rFonts w:asciiTheme="minorHAnsi" w:hAnsiTheme="minorHAnsi" w:cstheme="minorBidi"/>
          <w:b/>
          <w:sz w:val="28"/>
          <w:szCs w:val="22"/>
          <w:lang w:val="en-AU"/>
        </w:rPr>
        <w:t>Pasting</w:t>
      </w:r>
      <w:r w:rsidRPr="00B03E2E">
        <w:rPr>
          <w:rFonts w:asciiTheme="minorHAnsi" w:hAnsiTheme="minorHAnsi" w:cstheme="minorBidi"/>
          <w:sz w:val="28"/>
          <w:szCs w:val="22"/>
          <w:lang w:val="en-AU"/>
        </w:rPr>
        <w:t> – making use of a duplicate of something that has been copied earlier</w:t>
      </w:r>
    </w:p>
    <w:p w:rsidR="00F7711B" w:rsidRPr="00B03E2E" w:rsidRDefault="00F7711B" w:rsidP="00F7711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8"/>
          <w:szCs w:val="22"/>
          <w:lang w:val="en-AU"/>
        </w:rPr>
      </w:pPr>
      <w:r w:rsidRPr="00B03E2E">
        <w:rPr>
          <w:rFonts w:asciiTheme="minorHAnsi" w:hAnsiTheme="minorHAnsi" w:cstheme="minorBidi"/>
          <w:b/>
          <w:sz w:val="28"/>
          <w:szCs w:val="22"/>
          <w:lang w:val="en-AU"/>
        </w:rPr>
        <w:t>Decompose</w:t>
      </w:r>
      <w:r w:rsidRPr="00B03E2E">
        <w:rPr>
          <w:rFonts w:asciiTheme="minorHAnsi" w:hAnsiTheme="minorHAnsi" w:cstheme="minorBidi"/>
          <w:sz w:val="28"/>
          <w:szCs w:val="22"/>
          <w:lang w:val="en-AU"/>
        </w:rPr>
        <w:t> – when material breaks down until it is reintegrated back into the environment</w:t>
      </w:r>
    </w:p>
    <w:p w:rsidR="00F7711B" w:rsidRPr="00B03E2E" w:rsidRDefault="00F7711B" w:rsidP="00F7711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8"/>
          <w:szCs w:val="22"/>
          <w:lang w:val="en-AU"/>
        </w:rPr>
      </w:pPr>
      <w:r w:rsidRPr="00B03E2E">
        <w:rPr>
          <w:rFonts w:asciiTheme="minorHAnsi" w:hAnsiTheme="minorHAnsi" w:cstheme="minorBidi"/>
          <w:b/>
          <w:sz w:val="28"/>
          <w:szCs w:val="22"/>
          <w:lang w:val="en-AU"/>
        </w:rPr>
        <w:t>Rubbish</w:t>
      </w:r>
      <w:r w:rsidRPr="00B03E2E">
        <w:rPr>
          <w:rFonts w:asciiTheme="minorHAnsi" w:hAnsiTheme="minorHAnsi" w:cstheme="minorBidi"/>
          <w:sz w:val="28"/>
          <w:szCs w:val="22"/>
          <w:lang w:val="en-AU"/>
        </w:rPr>
        <w:t> – anything that we throw away or dispose of, regardless of the reason</w:t>
      </w:r>
    </w:p>
    <w:p w:rsidR="00F7711B" w:rsidRPr="00B03E2E" w:rsidRDefault="00F7711B" w:rsidP="00F7711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8"/>
          <w:szCs w:val="22"/>
          <w:lang w:val="en-AU"/>
        </w:rPr>
      </w:pPr>
      <w:r w:rsidRPr="00B03E2E">
        <w:rPr>
          <w:rFonts w:asciiTheme="minorHAnsi" w:hAnsiTheme="minorHAnsi" w:cstheme="minorBidi"/>
          <w:b/>
          <w:sz w:val="28"/>
          <w:szCs w:val="22"/>
          <w:lang w:val="en-AU"/>
        </w:rPr>
        <w:t>Output</w:t>
      </w:r>
      <w:r w:rsidRPr="00B03E2E">
        <w:rPr>
          <w:rFonts w:asciiTheme="minorHAnsi" w:hAnsiTheme="minorHAnsi" w:cstheme="minorBidi"/>
          <w:sz w:val="28"/>
          <w:szCs w:val="22"/>
          <w:lang w:val="en-AU"/>
        </w:rPr>
        <w:t> – the final result of an equation or calculation</w:t>
      </w:r>
    </w:p>
    <w:p w:rsidR="00F7711B" w:rsidRPr="00B03E2E" w:rsidRDefault="00F7711B" w:rsidP="00F7711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sz w:val="28"/>
          <w:szCs w:val="22"/>
          <w:lang w:val="en-AU"/>
        </w:rPr>
      </w:pPr>
      <w:r w:rsidRPr="00B03E2E">
        <w:rPr>
          <w:rFonts w:asciiTheme="minorHAnsi" w:hAnsiTheme="minorHAnsi" w:cstheme="minorBidi"/>
          <w:b/>
          <w:sz w:val="28"/>
          <w:szCs w:val="22"/>
          <w:lang w:val="en-AU"/>
        </w:rPr>
        <w:t>Formula</w:t>
      </w:r>
      <w:r w:rsidRPr="00B03E2E">
        <w:rPr>
          <w:rFonts w:asciiTheme="minorHAnsi" w:hAnsiTheme="minorHAnsi" w:cstheme="minorBidi"/>
          <w:sz w:val="28"/>
          <w:szCs w:val="22"/>
          <w:lang w:val="en-AU"/>
        </w:rPr>
        <w:t> – an equation or calculation</w:t>
      </w:r>
    </w:p>
    <w:p w:rsidR="00F7711B" w:rsidRDefault="00F7711B" w:rsidP="00B03E2E">
      <w:pPr>
        <w:pStyle w:val="NormalWeb"/>
        <w:shd w:val="clear" w:color="auto" w:fill="FFFFFF"/>
        <w:spacing w:before="0" w:beforeAutospacing="0" w:after="150" w:afterAutospacing="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B03E2E">
        <w:rPr>
          <w:rFonts w:asciiTheme="minorHAnsi" w:hAnsiTheme="minorHAnsi" w:cstheme="minorBidi"/>
          <w:b/>
          <w:sz w:val="28"/>
          <w:szCs w:val="22"/>
          <w:lang w:val="en-AU"/>
        </w:rPr>
        <w:t>SUM</w:t>
      </w:r>
      <w:r w:rsidRPr="00B03E2E">
        <w:rPr>
          <w:rFonts w:asciiTheme="minorHAnsi" w:hAnsiTheme="minorHAnsi" w:cstheme="minorBidi"/>
          <w:sz w:val="28"/>
          <w:szCs w:val="22"/>
          <w:lang w:val="en-AU"/>
        </w:rPr>
        <w:t> – the SUM function adds everything within the range specified. ‘=SUM(A1:A4)’ will add everything between ‘A1’ and ‘A4’.</w:t>
      </w:r>
      <w:bookmarkStart w:id="0" w:name="_GoBack"/>
      <w:bookmarkEnd w:id="0"/>
    </w:p>
    <w:p w:rsidR="00F7711B" w:rsidRDefault="00F7711B" w:rsidP="0088284B">
      <w:pPr>
        <w:shd w:val="clear" w:color="auto" w:fill="FFFFFF"/>
        <w:spacing w:before="300" w:after="150" w:line="240" w:lineRule="auto"/>
        <w:outlineLvl w:val="2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sectPr w:rsidR="00F7711B" w:rsidSect="007966BB">
      <w:headerReference w:type="default" r:id="rId7"/>
      <w:footerReference w:type="default" r:id="rId8"/>
      <w:pgSz w:w="11906" w:h="16838"/>
      <w:pgMar w:top="1440" w:right="1440" w:bottom="1440" w:left="144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3E" w:rsidRDefault="0085653E" w:rsidP="00CA16A9">
      <w:pPr>
        <w:spacing w:after="0" w:line="240" w:lineRule="auto"/>
      </w:pPr>
      <w:r>
        <w:separator/>
      </w:r>
    </w:p>
  </w:endnote>
  <w:endnote w:type="continuationSeparator" w:id="0">
    <w:p w:rsidR="0085653E" w:rsidRDefault="0085653E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FF" w:rsidRDefault="008E5AFF" w:rsidP="008E5AFF">
    <w:pPr>
      <w:pStyle w:val="Footer"/>
      <w:ind w:left="-993"/>
      <w:rPr>
        <w:noProof/>
        <w:sz w:val="16"/>
        <w:lang w:eastAsia="en-AU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4E8CB6E" wp14:editId="01D12272">
          <wp:simplePos x="0" y="0"/>
          <wp:positionH relativeFrom="column">
            <wp:posOffset>4213225</wp:posOffset>
          </wp:positionH>
          <wp:positionV relativeFrom="paragraph">
            <wp:posOffset>-234315</wp:posOffset>
          </wp:positionV>
          <wp:extent cx="2368550" cy="725805"/>
          <wp:effectExtent l="0" t="0" r="0" b="0"/>
          <wp:wrapNone/>
          <wp:docPr id="4" name="Picture 4" descr="Digital Technologies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_Projects\Coding\Design\For the Dev team\Logo\DTHub_Logo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25A">
      <w:rPr>
        <w:noProof/>
        <w:sz w:val="16"/>
        <w:lang w:eastAsia="en-AU"/>
      </w:rPr>
      <w:t>© 2016 Education Services Australia Ltd, unless otherwise indicated.</w:t>
    </w:r>
  </w:p>
  <w:p w:rsidR="00CA16A9" w:rsidRDefault="008E5AFF" w:rsidP="008E5AFF">
    <w:pPr>
      <w:pStyle w:val="Footer"/>
      <w:ind w:left="-993"/>
    </w:pPr>
    <w:r>
      <w:rPr>
        <w:noProof/>
        <w:sz w:val="16"/>
        <w:lang w:val="en-US"/>
      </w:rPr>
      <w:drawing>
        <wp:inline distT="0" distB="0" distL="0" distR="0" wp14:anchorId="11B5B1C4" wp14:editId="0271702B">
          <wp:extent cx="414867" cy="145944"/>
          <wp:effectExtent l="0" t="0" r="4445" b="6985"/>
          <wp:docPr id="5" name="Picture 5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867" cy="145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2BE3" w:rsidRPr="00D32BE3">
      <w:rPr>
        <w:rFonts w:ascii="Calibri" w:hAnsi="Calibri" w:cs="Times New Roman"/>
        <w:color w:val="1F497D"/>
      </w:rPr>
      <w:t xml:space="preserve"> </w:t>
    </w:r>
    <w:hyperlink r:id="rId4" w:history="1">
      <w:r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Pr="00BA1B8C">
      <w:rPr>
        <w:noProof/>
        <w:sz w:val="16"/>
        <w:lang w:eastAsia="en-AU"/>
      </w:rPr>
      <w:t>, unless otherwise indicated.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3E" w:rsidRDefault="0085653E" w:rsidP="00CA16A9">
      <w:pPr>
        <w:spacing w:after="0" w:line="240" w:lineRule="auto"/>
      </w:pPr>
      <w:r>
        <w:separator/>
      </w:r>
    </w:p>
  </w:footnote>
  <w:footnote w:type="continuationSeparator" w:id="0">
    <w:p w:rsidR="0085653E" w:rsidRDefault="0085653E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A9" w:rsidRPr="003954DD" w:rsidRDefault="005E6EB7" w:rsidP="00F95902">
    <w:pPr>
      <w:pStyle w:val="Title"/>
    </w:pPr>
    <w:r w:rsidRPr="003954DD">
      <w:rPr>
        <w:lang w:val="en-US" w:eastAsia="en-US"/>
      </w:rPr>
      <w:drawing>
        <wp:anchor distT="0" distB="0" distL="114300" distR="114300" simplePos="0" relativeHeight="251659264" behindDoc="1" locked="0" layoutInCell="1" allowOverlap="1" wp14:anchorId="1ED4C9FE" wp14:editId="6455C719">
          <wp:simplePos x="0" y="0"/>
          <wp:positionH relativeFrom="column">
            <wp:posOffset>-911134</wp:posOffset>
          </wp:positionH>
          <wp:positionV relativeFrom="paragraph">
            <wp:posOffset>-453934</wp:posOffset>
          </wp:positionV>
          <wp:extent cx="7566660" cy="929640"/>
          <wp:effectExtent l="0" t="0" r="0" b="3810"/>
          <wp:wrapNone/>
          <wp:docPr id="3" name="Picture 3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Design\For the Dev team\banners\prim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1B">
      <w:t>Rubbish recording and reduction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687D"/>
    <w:multiLevelType w:val="multilevel"/>
    <w:tmpl w:val="8440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647BC"/>
    <w:multiLevelType w:val="multilevel"/>
    <w:tmpl w:val="6C44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F29C8"/>
    <w:rsid w:val="00395274"/>
    <w:rsid w:val="003954DD"/>
    <w:rsid w:val="00395908"/>
    <w:rsid w:val="003F1C8B"/>
    <w:rsid w:val="005907BB"/>
    <w:rsid w:val="005E6EB7"/>
    <w:rsid w:val="00641DF3"/>
    <w:rsid w:val="006D50AE"/>
    <w:rsid w:val="007966BB"/>
    <w:rsid w:val="0085653E"/>
    <w:rsid w:val="0088284B"/>
    <w:rsid w:val="008A568A"/>
    <w:rsid w:val="008E5AFF"/>
    <w:rsid w:val="00965CB6"/>
    <w:rsid w:val="00965FE6"/>
    <w:rsid w:val="00A0259F"/>
    <w:rsid w:val="00B03E2E"/>
    <w:rsid w:val="00C07DA6"/>
    <w:rsid w:val="00C60DFA"/>
    <w:rsid w:val="00CA16A9"/>
    <w:rsid w:val="00D32BE3"/>
    <w:rsid w:val="00E7075D"/>
    <w:rsid w:val="00EC026D"/>
    <w:rsid w:val="00F7711B"/>
    <w:rsid w:val="00F95902"/>
    <w:rsid w:val="00FB1638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963D27"/>
  <w15:docId w15:val="{AB58FDF5-8F71-40DF-9600-112F5073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796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56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D32BE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66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66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6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8A56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A5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2.jpeg"/><Relationship Id="rId4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- detailed explanations</vt:lpstr>
    </vt:vector>
  </TitlesOfParts>
  <Company>Education Services Australia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- detailed explanations</dc:title>
  <dc:creator>Lucy Booth</dc:creator>
  <cp:lastModifiedBy>Boundy, Simon</cp:lastModifiedBy>
  <cp:revision>4</cp:revision>
  <cp:lastPrinted>2016-10-11T21:48:00Z</cp:lastPrinted>
  <dcterms:created xsi:type="dcterms:W3CDTF">2016-10-12T02:47:00Z</dcterms:created>
  <dcterms:modified xsi:type="dcterms:W3CDTF">2016-10-12T02:50:00Z</dcterms:modified>
</cp:coreProperties>
</file>